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E1" w:rsidRDefault="003345BC" w:rsidP="005B60E4">
      <w:pPr>
        <w:pStyle w:val="Mainitembody"/>
        <w:ind w:left="0"/>
        <w:rPr>
          <w:b/>
          <w:color w:val="00B0F0"/>
          <w:sz w:val="28"/>
          <w:szCs w:val="28"/>
        </w:rPr>
      </w:pPr>
      <w:r>
        <w:rPr>
          <w:rFonts w:cs="Arial"/>
          <w:b/>
          <w:color w:val="00B0F0"/>
          <w:sz w:val="28"/>
          <w:szCs w:val="28"/>
        </w:rPr>
        <w:t>Appendix 3: PSU Coding Matrix</w:t>
      </w:r>
      <w:r w:rsidR="00B6759A">
        <w:rPr>
          <w:rFonts w:cs="Arial"/>
          <w:b/>
          <w:color w:val="00B0F0"/>
          <w:sz w:val="28"/>
          <w:szCs w:val="28"/>
        </w:rPr>
        <w:t xml:space="preserve"> </w:t>
      </w:r>
      <w:r w:rsidR="00114454">
        <w:rPr>
          <w:rFonts w:cs="Arial"/>
          <w:b/>
          <w:color w:val="00B0F0"/>
          <w:sz w:val="28"/>
          <w:szCs w:val="28"/>
        </w:rPr>
        <w:t xml:space="preserve">for Severn </w:t>
      </w:r>
      <w:r w:rsidR="00373FE2">
        <w:rPr>
          <w:rFonts w:cs="Arial"/>
          <w:b/>
          <w:color w:val="00B0F0"/>
          <w:sz w:val="28"/>
          <w:szCs w:val="28"/>
        </w:rPr>
        <w:t>and</w:t>
      </w:r>
      <w:bookmarkStart w:id="0" w:name="_GoBack"/>
      <w:bookmarkEnd w:id="0"/>
      <w:r w:rsidR="00114454">
        <w:rPr>
          <w:rFonts w:cs="Arial"/>
          <w:b/>
          <w:color w:val="00B0F0"/>
          <w:sz w:val="28"/>
          <w:szCs w:val="28"/>
        </w:rPr>
        <w:t xml:space="preserve"> Peninsula PME use only </w:t>
      </w:r>
      <w:r>
        <w:rPr>
          <w:rFonts w:cs="Arial"/>
          <w:b/>
          <w:color w:val="00B0F0"/>
          <w:sz w:val="28"/>
          <w:szCs w:val="28"/>
        </w:rPr>
        <w:t xml:space="preserve"> </w:t>
      </w:r>
      <w:r>
        <w:rPr>
          <w:b/>
          <w:color w:val="00B0F0"/>
          <w:sz w:val="28"/>
          <w:szCs w:val="28"/>
        </w:rPr>
        <w:tab/>
      </w:r>
    </w:p>
    <w:tbl>
      <w:tblPr>
        <w:tblW w:w="15026" w:type="dxa"/>
        <w:tblInd w:w="-459" w:type="dxa"/>
        <w:tblLook w:val="04A0" w:firstRow="1" w:lastRow="0" w:firstColumn="1" w:lastColumn="0" w:noHBand="0" w:noVBand="1"/>
      </w:tblPr>
      <w:tblGrid>
        <w:gridCol w:w="2410"/>
        <w:gridCol w:w="812"/>
        <w:gridCol w:w="1271"/>
        <w:gridCol w:w="764"/>
        <w:gridCol w:w="9769"/>
      </w:tblGrid>
      <w:tr w:rsidR="003345BC" w:rsidRPr="003345BC" w:rsidTr="003D7B06">
        <w:trPr>
          <w:trHeight w:val="16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5BC" w:rsidRPr="003345BC" w:rsidRDefault="003345BC" w:rsidP="003345BC">
            <w:pPr>
              <w:rPr>
                <w:rFonts w:ascii="Calibri" w:hAnsi="Calibri"/>
                <w:b/>
                <w:bCs/>
                <w:color w:val="FF0000"/>
                <w:lang w:eastAsia="en-GB"/>
              </w:rPr>
            </w:pPr>
            <w:r w:rsidRPr="003345BC">
              <w:rPr>
                <w:rFonts w:ascii="Calibri" w:hAnsi="Calibri"/>
                <w:b/>
                <w:bCs/>
                <w:color w:val="FF0000"/>
                <w:lang w:eastAsia="en-GB"/>
              </w:rPr>
              <w:t>TRIGGER INDICATORS</w:t>
            </w:r>
          </w:p>
        </w:tc>
        <w:tc>
          <w:tcPr>
            <w:tcW w:w="12616" w:type="dxa"/>
            <w:gridSpan w:val="4"/>
            <w:tcBorders>
              <w:top w:val="single" w:sz="4" w:space="0" w:color="auto"/>
              <w:left w:val="nil"/>
              <w:bottom w:val="single" w:sz="4" w:space="0" w:color="auto"/>
              <w:right w:val="single" w:sz="4" w:space="0" w:color="auto"/>
            </w:tcBorders>
            <w:shd w:val="clear" w:color="auto" w:fill="auto"/>
            <w:noWrap/>
            <w:vAlign w:val="center"/>
          </w:tcPr>
          <w:p w:rsidR="003345BC" w:rsidRPr="003345BC" w:rsidRDefault="003345BC" w:rsidP="003345BC">
            <w:pPr>
              <w:rPr>
                <w:rFonts w:ascii="Calibri" w:hAnsi="Calibri"/>
                <w:b/>
                <w:color w:val="FF0000"/>
                <w:lang w:eastAsia="en-GB"/>
              </w:rPr>
            </w:pPr>
            <w:r w:rsidRPr="003345BC">
              <w:rPr>
                <w:rFonts w:ascii="Calibri" w:hAnsi="Calibri"/>
                <w:b/>
                <w:color w:val="FF0000"/>
                <w:lang w:eastAsia="en-GB"/>
              </w:rPr>
              <w:t>LEVEL OF CONCERN</w:t>
            </w:r>
          </w:p>
        </w:tc>
      </w:tr>
      <w:tr w:rsidR="003D7B06" w:rsidRPr="003345BC" w:rsidTr="003D7B06">
        <w:trPr>
          <w:trHeight w:val="169"/>
        </w:trPr>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bCs/>
                <w:color w:val="000000"/>
                <w:lang w:eastAsia="en-GB"/>
              </w:rPr>
            </w:pPr>
            <w:r w:rsidRPr="003345BC">
              <w:rPr>
                <w:rFonts w:ascii="Calibri" w:hAnsi="Calibri"/>
                <w:b/>
                <w:bCs/>
                <w:color w:val="FF0000"/>
                <w:lang w:eastAsia="en-GB"/>
              </w:rPr>
              <w:t>PERFORMANCE (P)</w:t>
            </w:r>
          </w:p>
        </w:tc>
        <w:tc>
          <w:tcPr>
            <w:tcW w:w="81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Low (L)</w:t>
            </w:r>
          </w:p>
        </w:tc>
        <w:tc>
          <w:tcPr>
            <w:tcW w:w="127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Moderate (M)</w:t>
            </w:r>
          </w:p>
        </w:tc>
        <w:tc>
          <w:tcPr>
            <w:tcW w:w="76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High (H)</w:t>
            </w:r>
          </w:p>
        </w:tc>
        <w:tc>
          <w:tcPr>
            <w:tcW w:w="976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lang w:eastAsia="en-GB"/>
              </w:rPr>
            </w:pPr>
            <w:r w:rsidRPr="003345BC">
              <w:rPr>
                <w:rFonts w:ascii="Calibri" w:hAnsi="Calibri"/>
                <w:b/>
                <w:color w:val="000000"/>
                <w:lang w:eastAsia="en-GB"/>
              </w:rPr>
              <w:t>Descriptor</w:t>
            </w:r>
          </w:p>
        </w:tc>
      </w:tr>
      <w:tr w:rsidR="003D7B06" w:rsidRPr="003345BC" w:rsidTr="003D7B06">
        <w:trPr>
          <w:trHeight w:val="33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1 Patient safety</w:t>
            </w:r>
          </w:p>
        </w:tc>
        <w:tc>
          <w:tcPr>
            <w:tcW w:w="812" w:type="dxa"/>
            <w:tcBorders>
              <w:top w:val="nil"/>
              <w:left w:val="nil"/>
              <w:bottom w:val="single" w:sz="4" w:space="0" w:color="auto"/>
              <w:right w:val="single" w:sz="4" w:space="0" w:color="auto"/>
            </w:tcBorders>
            <w:shd w:val="clear" w:color="000000" w:fill="000000"/>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 </w:t>
            </w:r>
          </w:p>
        </w:tc>
        <w:tc>
          <w:tcPr>
            <w:tcW w:w="1271" w:type="dxa"/>
            <w:tcBorders>
              <w:top w:val="nil"/>
              <w:left w:val="nil"/>
              <w:bottom w:val="single" w:sz="4" w:space="0" w:color="auto"/>
              <w:right w:val="single" w:sz="4" w:space="0" w:color="auto"/>
            </w:tcBorders>
            <w:shd w:val="clear" w:color="000000" w:fill="000000"/>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 </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P1H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Any issue that could immediately threaten patient safety. This indicator merits an initial immediate escalation to high level of concern.</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2 GMC</w:t>
            </w:r>
          </w:p>
        </w:tc>
        <w:tc>
          <w:tcPr>
            <w:tcW w:w="812" w:type="dxa"/>
            <w:tcBorders>
              <w:top w:val="nil"/>
              <w:left w:val="nil"/>
              <w:bottom w:val="single" w:sz="4" w:space="0" w:color="auto"/>
              <w:right w:val="single" w:sz="4" w:space="0" w:color="auto"/>
            </w:tcBorders>
            <w:shd w:val="clear" w:color="000000" w:fill="000000"/>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P2L</w:t>
            </w:r>
          </w:p>
        </w:tc>
        <w:tc>
          <w:tcPr>
            <w:tcW w:w="1271" w:type="dxa"/>
            <w:tcBorders>
              <w:top w:val="nil"/>
              <w:left w:val="nil"/>
              <w:bottom w:val="single" w:sz="4" w:space="0" w:color="auto"/>
              <w:right w:val="single" w:sz="4" w:space="0" w:color="auto"/>
            </w:tcBorders>
            <w:shd w:val="clear" w:color="000000" w:fill="000000"/>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P2M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P2H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Any GMC referral coded as high level of concern initially.</w:t>
            </w:r>
          </w:p>
        </w:tc>
      </w:tr>
      <w:tr w:rsidR="003D7B06" w:rsidRPr="003345BC" w:rsidTr="003D7B06">
        <w:trPr>
          <w:trHeight w:val="31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3 Unsatisfactory ARCP</w:t>
            </w:r>
          </w:p>
        </w:tc>
        <w:tc>
          <w:tcPr>
            <w:tcW w:w="812" w:type="dxa"/>
            <w:tcBorders>
              <w:top w:val="nil"/>
              <w:left w:val="nil"/>
              <w:bottom w:val="single" w:sz="4" w:space="0" w:color="auto"/>
              <w:right w:val="single" w:sz="4" w:space="0" w:color="auto"/>
            </w:tcBorders>
            <w:shd w:val="clear" w:color="000000" w:fill="000000"/>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P3L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P3M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P3H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Outcome 3 &amp; 4 should be coded as P3H; some outcome 2 usually P3M. Any unsatisfactory ARCP outcome may potentially threaten progress of training; hence initial level of concern should be moderate.</w:t>
            </w:r>
          </w:p>
        </w:tc>
      </w:tr>
      <w:tr w:rsidR="003D7B06" w:rsidRPr="003345BC" w:rsidTr="003D7B06">
        <w:trPr>
          <w:trHeight w:val="227"/>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4 Significant Incidents</w:t>
            </w:r>
          </w:p>
        </w:tc>
        <w:tc>
          <w:tcPr>
            <w:tcW w:w="812" w:type="dxa"/>
            <w:tcBorders>
              <w:top w:val="nil"/>
              <w:left w:val="nil"/>
              <w:bottom w:val="single" w:sz="4" w:space="0" w:color="auto"/>
              <w:right w:val="single" w:sz="4" w:space="0" w:color="auto"/>
            </w:tcBorders>
            <w:shd w:val="clear" w:color="000000" w:fill="000000"/>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 </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P4M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P4H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Significant untoward incidents from LEPs or Exit reports. Initial coding as moderate if verified.</w:t>
            </w:r>
          </w:p>
        </w:tc>
      </w:tr>
      <w:tr w:rsidR="003D7B06" w:rsidRPr="003345BC" w:rsidTr="003D7B06">
        <w:trPr>
          <w:trHeight w:val="33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5 Clinical competence</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P5L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P5M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P5H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Unsatisfactory demonstration of knowledge, skills, work place based assessments (including logged cases) &amp; mandatory course such as ALS.</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6 Examination failure</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P6L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P6M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P6H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Postgraduate professional examinations, part(s) of Membership/Fellowship</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7 Complaints</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P7L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P7M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P7H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Complaints from patients and colleagues which have been investigated and verified</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Theme="minorHAnsi" w:hAnsiTheme="minorHAnsi"/>
                <w:b/>
                <w:bCs/>
                <w:color w:val="000000"/>
                <w:lang w:eastAsia="en-GB"/>
              </w:rPr>
            </w:pPr>
            <w:r w:rsidRPr="003345BC">
              <w:rPr>
                <w:rFonts w:asciiTheme="minorHAnsi" w:hAnsiTheme="minorHAnsi"/>
                <w:b/>
                <w:bCs/>
                <w:color w:val="FF0000"/>
                <w:lang w:eastAsia="en-GB"/>
              </w:rPr>
              <w:t>BEHAVIOUR (B)</w:t>
            </w:r>
          </w:p>
        </w:tc>
        <w:tc>
          <w:tcPr>
            <w:tcW w:w="812"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Low (L)</w:t>
            </w:r>
          </w:p>
        </w:tc>
        <w:tc>
          <w:tcPr>
            <w:tcW w:w="1271"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Moderate (M)</w:t>
            </w:r>
          </w:p>
        </w:tc>
        <w:tc>
          <w:tcPr>
            <w:tcW w:w="764"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High (H)</w:t>
            </w:r>
          </w:p>
        </w:tc>
        <w:tc>
          <w:tcPr>
            <w:tcW w:w="9769" w:type="dxa"/>
            <w:tcBorders>
              <w:top w:val="nil"/>
              <w:left w:val="nil"/>
              <w:bottom w:val="single" w:sz="4" w:space="0" w:color="auto"/>
              <w:right w:val="single" w:sz="4" w:space="0" w:color="auto"/>
            </w:tcBorders>
            <w:shd w:val="clear" w:color="auto" w:fill="DBE5F1" w:themeFill="accent1" w:themeFillTint="33"/>
            <w:vAlign w:val="center"/>
            <w:hideMark/>
          </w:tcPr>
          <w:p w:rsidR="003345BC" w:rsidRPr="003345BC" w:rsidRDefault="003345BC" w:rsidP="003345BC">
            <w:pPr>
              <w:rPr>
                <w:rFonts w:ascii="Calibri" w:hAnsi="Calibri"/>
                <w:b/>
                <w:color w:val="000000"/>
                <w:lang w:eastAsia="en-GB"/>
              </w:rPr>
            </w:pPr>
            <w:r w:rsidRPr="003345BC">
              <w:rPr>
                <w:rFonts w:ascii="Calibri" w:hAnsi="Calibri"/>
                <w:b/>
                <w:color w:val="000000"/>
                <w:lang w:eastAsia="en-GB"/>
              </w:rPr>
              <w:t>Descriptor</w:t>
            </w:r>
          </w:p>
        </w:tc>
      </w:tr>
      <w:tr w:rsidR="003D7B06" w:rsidRPr="003345BC" w:rsidTr="003D7B06">
        <w:trPr>
          <w:trHeight w:val="39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1 Non-clinical attributes</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B1L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B1M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B1H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lang w:eastAsia="en-GB"/>
              </w:rPr>
            </w:pPr>
            <w:r w:rsidRPr="003345BC">
              <w:rPr>
                <w:rFonts w:asciiTheme="minorHAnsi" w:hAnsiTheme="minorHAnsi"/>
                <w:lang w:eastAsia="en-GB"/>
              </w:rPr>
              <w:t xml:space="preserve">This includes </w:t>
            </w:r>
            <w:r w:rsidRPr="003345BC">
              <w:rPr>
                <w:rFonts w:asciiTheme="minorHAnsi" w:hAnsiTheme="minorHAnsi"/>
                <w:i/>
                <w:lang w:eastAsia="en-GB"/>
              </w:rPr>
              <w:t>unsatisfactory demonstration</w:t>
            </w:r>
            <w:r w:rsidRPr="003345BC">
              <w:rPr>
                <w:rFonts w:asciiTheme="minorHAnsi" w:hAnsiTheme="minorHAnsi"/>
                <w:lang w:eastAsia="en-GB"/>
              </w:rPr>
              <w:t xml:space="preserve"> of non-clinical attributes such as organisation, leadership, team working, situation &amp;/or self-awareness, prioritisation, communication, cognition (loss of memory, concentration and attention), decision making, stress management and ability to cope under pressure (trainees utilising coping mechanisms such as avoidance, dismissal and denial are more prone to experience high stress level).</w:t>
            </w:r>
          </w:p>
        </w:tc>
      </w:tr>
      <w:tr w:rsidR="003D7B06" w:rsidRPr="003345BC" w:rsidTr="003D7B06">
        <w:trPr>
          <w:trHeight w:val="517"/>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2 Professionalism</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B2L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B2M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B2H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lang w:eastAsia="en-GB"/>
              </w:rPr>
            </w:pPr>
            <w:r w:rsidRPr="003345BC">
              <w:rPr>
                <w:rFonts w:asciiTheme="minorHAnsi" w:hAnsiTheme="minorHAnsi"/>
                <w:lang w:eastAsia="en-GB"/>
              </w:rPr>
              <w:t>Fail to demonstrate professionalism which defines a set of values (work, social &amp; culture), behaviours, and relationships; specifically including integrity, compassion, altruism, continuous improvement, excellence, and engagement in working partnership with members of the wider healthcare team and their training portfolio.</w:t>
            </w:r>
          </w:p>
        </w:tc>
      </w:tr>
      <w:tr w:rsidR="003D7B06" w:rsidRPr="003345BC" w:rsidTr="003D7B06">
        <w:trPr>
          <w:trHeight w:val="33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3 Personality Traits</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B3L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B3M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B3H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lang w:eastAsia="en-GB"/>
              </w:rPr>
            </w:pPr>
            <w:r w:rsidRPr="003345BC">
              <w:rPr>
                <w:rFonts w:asciiTheme="minorHAnsi" w:hAnsiTheme="minorHAnsi"/>
                <w:lang w:eastAsia="en-GB"/>
              </w:rPr>
              <w:t xml:space="preserve">Personality factors that impact on performance: conscientiousness, emotional stability, openness, extraversion &amp; agreeableness (The Five Factor Model).  </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Theme="minorHAnsi" w:hAnsiTheme="minorHAnsi"/>
                <w:b/>
                <w:bCs/>
                <w:color w:val="000000"/>
                <w:lang w:eastAsia="en-GB"/>
              </w:rPr>
            </w:pPr>
            <w:r w:rsidRPr="003345BC">
              <w:rPr>
                <w:rFonts w:asciiTheme="minorHAnsi" w:hAnsiTheme="minorHAnsi"/>
                <w:b/>
                <w:bCs/>
                <w:color w:val="FF0000"/>
                <w:lang w:eastAsia="en-GB"/>
              </w:rPr>
              <w:t>HEALTH (H)</w:t>
            </w:r>
          </w:p>
        </w:tc>
        <w:tc>
          <w:tcPr>
            <w:tcW w:w="812"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Low (L)</w:t>
            </w:r>
          </w:p>
        </w:tc>
        <w:tc>
          <w:tcPr>
            <w:tcW w:w="1271"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Moderate (M)</w:t>
            </w:r>
          </w:p>
        </w:tc>
        <w:tc>
          <w:tcPr>
            <w:tcW w:w="764"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High (H)</w:t>
            </w:r>
          </w:p>
        </w:tc>
        <w:tc>
          <w:tcPr>
            <w:tcW w:w="9769" w:type="dxa"/>
            <w:tcBorders>
              <w:top w:val="nil"/>
              <w:left w:val="nil"/>
              <w:bottom w:val="single" w:sz="4" w:space="0" w:color="auto"/>
              <w:right w:val="single" w:sz="4" w:space="0" w:color="auto"/>
            </w:tcBorders>
            <w:shd w:val="clear" w:color="auto" w:fill="DBE5F1" w:themeFill="accent1" w:themeFillTint="33"/>
            <w:vAlign w:val="center"/>
            <w:hideMark/>
          </w:tcPr>
          <w:p w:rsidR="003345BC" w:rsidRPr="003345BC" w:rsidRDefault="003345BC" w:rsidP="003345BC">
            <w:pPr>
              <w:rPr>
                <w:rFonts w:ascii="Calibri" w:hAnsi="Calibri"/>
                <w:b/>
                <w:color w:val="000000"/>
                <w:lang w:eastAsia="en-GB"/>
              </w:rPr>
            </w:pPr>
            <w:r w:rsidRPr="003345BC">
              <w:rPr>
                <w:rFonts w:ascii="Calibri" w:hAnsi="Calibri"/>
                <w:b/>
                <w:color w:val="000000"/>
                <w:lang w:eastAsia="en-GB"/>
              </w:rPr>
              <w:t>Descriptor</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1 Physical</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H1L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H1M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H1H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Physical ill health</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2 Psychological</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H2L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H2M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H2H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 xml:space="preserve">Non-physical ill health </w:t>
            </w:r>
            <w:r w:rsidR="00D217E1" w:rsidRPr="003345BC">
              <w:rPr>
                <w:rFonts w:asciiTheme="minorHAnsi" w:hAnsiTheme="minorHAnsi"/>
                <w:color w:val="000000"/>
                <w:lang w:eastAsia="en-GB"/>
              </w:rPr>
              <w:t>e.g.</w:t>
            </w:r>
            <w:r w:rsidRPr="003345BC">
              <w:rPr>
                <w:rFonts w:asciiTheme="minorHAnsi" w:hAnsiTheme="minorHAnsi"/>
                <w:color w:val="000000"/>
                <w:lang w:eastAsia="en-GB"/>
              </w:rPr>
              <w:t xml:space="preserve"> depression, bereavement, PTSD</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3 Substance misuse</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H3L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H3M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H3H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Alcohol and drugs misuse</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Theme="minorHAnsi" w:hAnsiTheme="minorHAnsi"/>
                <w:b/>
                <w:bCs/>
                <w:color w:val="000000"/>
                <w:lang w:eastAsia="en-GB"/>
              </w:rPr>
            </w:pPr>
            <w:r w:rsidRPr="003345BC">
              <w:rPr>
                <w:rFonts w:asciiTheme="minorHAnsi" w:hAnsiTheme="minorHAnsi"/>
                <w:b/>
                <w:bCs/>
                <w:color w:val="FF0000"/>
                <w:lang w:eastAsia="en-GB"/>
              </w:rPr>
              <w:t>ENVIRONMENT (E)</w:t>
            </w:r>
          </w:p>
        </w:tc>
        <w:tc>
          <w:tcPr>
            <w:tcW w:w="812"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Low (L)</w:t>
            </w:r>
          </w:p>
        </w:tc>
        <w:tc>
          <w:tcPr>
            <w:tcW w:w="1271"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Moderate (M)</w:t>
            </w:r>
          </w:p>
        </w:tc>
        <w:tc>
          <w:tcPr>
            <w:tcW w:w="764" w:type="dxa"/>
            <w:tcBorders>
              <w:top w:val="nil"/>
              <w:left w:val="nil"/>
              <w:bottom w:val="single" w:sz="4" w:space="0" w:color="auto"/>
              <w:right w:val="single" w:sz="4" w:space="0" w:color="auto"/>
            </w:tcBorders>
            <w:shd w:val="clear" w:color="auto" w:fill="DBE5F1" w:themeFill="accent1" w:themeFillTint="33"/>
            <w:noWrap/>
            <w:vAlign w:val="center"/>
            <w:hideMark/>
          </w:tcPr>
          <w:p w:rsidR="003345BC" w:rsidRPr="003345BC" w:rsidRDefault="003345BC" w:rsidP="003345BC">
            <w:pPr>
              <w:rPr>
                <w:rFonts w:ascii="Calibri" w:hAnsi="Calibri"/>
                <w:b/>
                <w:color w:val="000000"/>
                <w:sz w:val="16"/>
                <w:szCs w:val="16"/>
                <w:lang w:eastAsia="en-GB"/>
              </w:rPr>
            </w:pPr>
            <w:r w:rsidRPr="003345BC">
              <w:rPr>
                <w:rFonts w:ascii="Calibri" w:hAnsi="Calibri"/>
                <w:b/>
                <w:color w:val="000000"/>
                <w:sz w:val="16"/>
                <w:szCs w:val="16"/>
                <w:lang w:eastAsia="en-GB"/>
              </w:rPr>
              <w:t>High (H)</w:t>
            </w:r>
          </w:p>
        </w:tc>
        <w:tc>
          <w:tcPr>
            <w:tcW w:w="9769" w:type="dxa"/>
            <w:tcBorders>
              <w:top w:val="nil"/>
              <w:left w:val="nil"/>
              <w:bottom w:val="single" w:sz="4" w:space="0" w:color="auto"/>
              <w:right w:val="single" w:sz="4" w:space="0" w:color="auto"/>
            </w:tcBorders>
            <w:shd w:val="clear" w:color="auto" w:fill="DBE5F1" w:themeFill="accent1" w:themeFillTint="33"/>
            <w:vAlign w:val="center"/>
            <w:hideMark/>
          </w:tcPr>
          <w:p w:rsidR="003345BC" w:rsidRPr="003345BC" w:rsidRDefault="003345BC" w:rsidP="003345BC">
            <w:pPr>
              <w:rPr>
                <w:rFonts w:ascii="Calibri" w:hAnsi="Calibri"/>
                <w:b/>
                <w:color w:val="000000"/>
                <w:lang w:eastAsia="en-GB"/>
              </w:rPr>
            </w:pPr>
            <w:r w:rsidRPr="003345BC">
              <w:rPr>
                <w:rFonts w:ascii="Calibri" w:hAnsi="Calibri"/>
                <w:b/>
                <w:color w:val="000000"/>
                <w:lang w:eastAsia="en-GB"/>
              </w:rPr>
              <w:t>Descriptor</w:t>
            </w:r>
          </w:p>
        </w:tc>
      </w:tr>
      <w:tr w:rsidR="003D7B06" w:rsidRPr="003345BC" w:rsidTr="003D7B06">
        <w:trPr>
          <w:trHeight w:val="16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1 Work</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E1L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E1M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E1H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Underperformance secondary to or contributed by work system and infrastructure issues</w:t>
            </w:r>
          </w:p>
        </w:tc>
      </w:tr>
      <w:tr w:rsidR="003D7B06" w:rsidRPr="003345BC" w:rsidTr="003D7B06">
        <w:trPr>
          <w:trHeight w:val="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2 Home &amp; family</w:t>
            </w:r>
          </w:p>
        </w:tc>
        <w:tc>
          <w:tcPr>
            <w:tcW w:w="812"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E2L</w:t>
            </w:r>
          </w:p>
        </w:tc>
        <w:tc>
          <w:tcPr>
            <w:tcW w:w="1271" w:type="dxa"/>
            <w:tcBorders>
              <w:top w:val="nil"/>
              <w:left w:val="nil"/>
              <w:bottom w:val="single" w:sz="4" w:space="0" w:color="auto"/>
              <w:right w:val="single" w:sz="4" w:space="0" w:color="auto"/>
            </w:tcBorders>
            <w:shd w:val="clear" w:color="auto" w:fill="auto"/>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E2M</w:t>
            </w:r>
          </w:p>
        </w:tc>
        <w:tc>
          <w:tcPr>
            <w:tcW w:w="764" w:type="dxa"/>
            <w:tcBorders>
              <w:top w:val="nil"/>
              <w:left w:val="nil"/>
              <w:bottom w:val="single" w:sz="4" w:space="0" w:color="auto"/>
              <w:right w:val="single" w:sz="4" w:space="0" w:color="auto"/>
            </w:tcBorders>
            <w:shd w:val="clear" w:color="000000" w:fill="BFBFBF"/>
            <w:noWrap/>
            <w:vAlign w:val="center"/>
            <w:hideMark/>
          </w:tcPr>
          <w:p w:rsidR="003345BC" w:rsidRPr="003345BC" w:rsidRDefault="003345BC" w:rsidP="003345BC">
            <w:pPr>
              <w:jc w:val="center"/>
              <w:rPr>
                <w:rFonts w:asciiTheme="minorHAnsi" w:hAnsiTheme="minorHAnsi"/>
                <w:color w:val="000000"/>
                <w:lang w:eastAsia="en-GB"/>
              </w:rPr>
            </w:pPr>
            <w:r w:rsidRPr="003345BC">
              <w:rPr>
                <w:rFonts w:asciiTheme="minorHAnsi" w:hAnsiTheme="minorHAnsi"/>
                <w:color w:val="000000"/>
                <w:lang w:eastAsia="en-GB"/>
              </w:rPr>
              <w:t>E2H</w:t>
            </w:r>
          </w:p>
        </w:tc>
        <w:tc>
          <w:tcPr>
            <w:tcW w:w="9769" w:type="dxa"/>
            <w:tcBorders>
              <w:top w:val="nil"/>
              <w:left w:val="nil"/>
              <w:bottom w:val="single" w:sz="4" w:space="0" w:color="auto"/>
              <w:right w:val="single" w:sz="4" w:space="0" w:color="auto"/>
            </w:tcBorders>
            <w:shd w:val="clear" w:color="auto" w:fill="auto"/>
            <w:vAlign w:val="center"/>
            <w:hideMark/>
          </w:tcPr>
          <w:p w:rsidR="003345BC" w:rsidRPr="003345BC" w:rsidRDefault="003345BC" w:rsidP="003345BC">
            <w:pPr>
              <w:rPr>
                <w:rFonts w:asciiTheme="minorHAnsi" w:hAnsiTheme="minorHAnsi"/>
                <w:color w:val="000000"/>
                <w:lang w:eastAsia="en-GB"/>
              </w:rPr>
            </w:pPr>
            <w:r w:rsidRPr="003345BC">
              <w:rPr>
                <w:rFonts w:asciiTheme="minorHAnsi" w:hAnsiTheme="minorHAnsi"/>
                <w:color w:val="000000"/>
                <w:lang w:eastAsia="en-GB"/>
              </w:rPr>
              <w:t>Underperformance secondary to or contributed by domestic problems</w:t>
            </w:r>
          </w:p>
        </w:tc>
      </w:tr>
    </w:tbl>
    <w:p w:rsidR="00B128E1" w:rsidRDefault="00B128E1" w:rsidP="005B60E4">
      <w:pPr>
        <w:pStyle w:val="Mainitembody"/>
        <w:ind w:left="0"/>
        <w:rPr>
          <w:b/>
          <w:color w:val="00B0F0"/>
          <w:sz w:val="28"/>
          <w:szCs w:val="28"/>
        </w:rPr>
      </w:pPr>
    </w:p>
    <w:p w:rsidR="00B128E1" w:rsidRPr="00B128E1" w:rsidRDefault="00B128E1" w:rsidP="00B128E1">
      <w:pPr>
        <w:spacing w:after="200" w:line="276" w:lineRule="auto"/>
        <w:rPr>
          <w:rFonts w:asciiTheme="minorHAnsi" w:eastAsiaTheme="minorHAnsi" w:hAnsiTheme="minorHAnsi" w:cstheme="minorBidi"/>
          <w:b/>
          <w:sz w:val="24"/>
          <w:szCs w:val="24"/>
        </w:rPr>
      </w:pPr>
      <w:r w:rsidRPr="00B128E1">
        <w:rPr>
          <w:rFonts w:asciiTheme="minorHAnsi" w:eastAsiaTheme="minorHAnsi" w:hAnsiTheme="minorHAnsi" w:cstheme="minorBidi"/>
          <w:b/>
          <w:sz w:val="24"/>
          <w:szCs w:val="24"/>
        </w:rPr>
        <w:t>LEVEL OF CONCERN GUIDE</w:t>
      </w:r>
    </w:p>
    <w:tbl>
      <w:tblPr>
        <w:tblStyle w:val="TableGrid2"/>
        <w:tblW w:w="0" w:type="auto"/>
        <w:tblInd w:w="108" w:type="dxa"/>
        <w:tblLook w:val="04A0" w:firstRow="1" w:lastRow="0" w:firstColumn="1" w:lastColumn="0" w:noHBand="0" w:noVBand="1"/>
      </w:tblPr>
      <w:tblGrid>
        <w:gridCol w:w="1668"/>
        <w:gridCol w:w="7654"/>
      </w:tblGrid>
      <w:tr w:rsidR="00B128E1" w:rsidRPr="00B128E1" w:rsidTr="007F349F">
        <w:tc>
          <w:tcPr>
            <w:tcW w:w="1668" w:type="dxa"/>
          </w:tcPr>
          <w:p w:rsidR="00B128E1" w:rsidRPr="00B128E1" w:rsidRDefault="00B128E1" w:rsidP="00B128E1">
            <w:pPr>
              <w:jc w:val="right"/>
              <w:rPr>
                <w:rFonts w:asciiTheme="minorHAnsi" w:hAnsiTheme="minorHAnsi"/>
                <w:sz w:val="24"/>
                <w:szCs w:val="24"/>
              </w:rPr>
            </w:pPr>
            <w:r w:rsidRPr="00B128E1">
              <w:rPr>
                <w:rFonts w:asciiTheme="minorHAnsi" w:hAnsiTheme="minorHAnsi"/>
                <w:sz w:val="24"/>
                <w:szCs w:val="24"/>
              </w:rPr>
              <w:t xml:space="preserve">Low (L) </w:t>
            </w:r>
          </w:p>
        </w:tc>
        <w:tc>
          <w:tcPr>
            <w:tcW w:w="7654"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Progression of training is unthreatened (no anticipated change of CCT date)</w:t>
            </w:r>
          </w:p>
        </w:tc>
      </w:tr>
      <w:tr w:rsidR="00B128E1" w:rsidRPr="00B128E1" w:rsidTr="007F349F">
        <w:tc>
          <w:tcPr>
            <w:tcW w:w="1668" w:type="dxa"/>
          </w:tcPr>
          <w:p w:rsidR="00B128E1" w:rsidRPr="00B128E1" w:rsidRDefault="00B128E1" w:rsidP="00B128E1">
            <w:pPr>
              <w:jc w:val="right"/>
              <w:rPr>
                <w:rFonts w:asciiTheme="minorHAnsi" w:hAnsiTheme="minorHAnsi"/>
                <w:sz w:val="24"/>
                <w:szCs w:val="24"/>
              </w:rPr>
            </w:pPr>
            <w:r w:rsidRPr="00B128E1">
              <w:rPr>
                <w:rFonts w:asciiTheme="minorHAnsi" w:hAnsiTheme="minorHAnsi"/>
                <w:sz w:val="24"/>
                <w:szCs w:val="24"/>
              </w:rPr>
              <w:t>Moderate (M)</w:t>
            </w:r>
          </w:p>
        </w:tc>
        <w:tc>
          <w:tcPr>
            <w:tcW w:w="7654"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Progression of training may be threatened (CCT date may be changed)</w:t>
            </w:r>
          </w:p>
        </w:tc>
      </w:tr>
      <w:tr w:rsidR="00B128E1" w:rsidRPr="00B128E1" w:rsidTr="007F349F">
        <w:tc>
          <w:tcPr>
            <w:tcW w:w="1668" w:type="dxa"/>
          </w:tcPr>
          <w:p w:rsidR="00B128E1" w:rsidRPr="00B128E1" w:rsidRDefault="00B128E1" w:rsidP="00B128E1">
            <w:pPr>
              <w:jc w:val="right"/>
              <w:rPr>
                <w:rFonts w:asciiTheme="minorHAnsi" w:hAnsiTheme="minorHAnsi"/>
                <w:sz w:val="24"/>
                <w:szCs w:val="24"/>
              </w:rPr>
            </w:pPr>
            <w:r w:rsidRPr="00B128E1">
              <w:rPr>
                <w:rFonts w:asciiTheme="minorHAnsi" w:hAnsiTheme="minorHAnsi"/>
                <w:sz w:val="24"/>
                <w:szCs w:val="24"/>
              </w:rPr>
              <w:t>High (H)</w:t>
            </w:r>
          </w:p>
        </w:tc>
        <w:tc>
          <w:tcPr>
            <w:tcW w:w="7654"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Progression of training is threatened (anticipated change of CCT date)</w:t>
            </w:r>
          </w:p>
        </w:tc>
      </w:tr>
    </w:tbl>
    <w:p w:rsidR="00B128E1" w:rsidRPr="00B128E1" w:rsidRDefault="00B128E1" w:rsidP="00B128E1">
      <w:pPr>
        <w:spacing w:after="200" w:line="276" w:lineRule="auto"/>
        <w:rPr>
          <w:rFonts w:asciiTheme="minorHAnsi" w:eastAsiaTheme="minorHAnsi" w:hAnsiTheme="minorHAnsi" w:cstheme="minorBidi"/>
        </w:rPr>
      </w:pPr>
    </w:p>
    <w:p w:rsidR="00B128E1" w:rsidRPr="00B128E1" w:rsidRDefault="00B128E1" w:rsidP="00B128E1">
      <w:pPr>
        <w:spacing w:after="200" w:line="276" w:lineRule="auto"/>
        <w:rPr>
          <w:rFonts w:asciiTheme="minorHAnsi" w:eastAsiaTheme="minorHAnsi" w:hAnsiTheme="minorHAnsi" w:cstheme="minorBidi"/>
          <w:b/>
          <w:sz w:val="24"/>
          <w:szCs w:val="24"/>
        </w:rPr>
      </w:pPr>
      <w:r w:rsidRPr="00B128E1">
        <w:rPr>
          <w:rFonts w:asciiTheme="minorHAnsi" w:eastAsiaTheme="minorHAnsi" w:hAnsiTheme="minorHAnsi" w:cstheme="minorBidi"/>
          <w:b/>
          <w:sz w:val="24"/>
          <w:szCs w:val="24"/>
        </w:rPr>
        <w:t>GENERAL GUIDE</w:t>
      </w:r>
    </w:p>
    <w:tbl>
      <w:tblPr>
        <w:tblStyle w:val="TableGrid2"/>
        <w:tblW w:w="14459" w:type="dxa"/>
        <w:tblInd w:w="108" w:type="dxa"/>
        <w:tblLook w:val="04A0" w:firstRow="1" w:lastRow="0" w:firstColumn="1" w:lastColumn="0" w:noHBand="0" w:noVBand="1"/>
      </w:tblPr>
      <w:tblGrid>
        <w:gridCol w:w="14459"/>
      </w:tblGrid>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Trainees with Low and/ or Moderate level of concern usually managed by LEP and/ or Specialty School trainers, and supported by the PSU</w:t>
            </w:r>
          </w:p>
        </w:tc>
      </w:tr>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Trainees with High level concern should be referred to PSU at HESW</w:t>
            </w:r>
          </w:p>
        </w:tc>
      </w:tr>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Trainees may be referred to PSU with more than 1 code (a trigger code is helpful for HESW)</w:t>
            </w:r>
          </w:p>
        </w:tc>
      </w:tr>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Trainers can refer ANY trainee regardless of the level of concern to PSU</w:t>
            </w:r>
          </w:p>
        </w:tc>
      </w:tr>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Trainees referred or self-referred are divided into 3 categories:</w:t>
            </w:r>
          </w:p>
        </w:tc>
      </w:tr>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1.  New trainees referral to PSU</w:t>
            </w:r>
          </w:p>
        </w:tc>
      </w:tr>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2.  Support to trainees initiated by PSU and requirement for regular review at PSU Expert Panel.</w:t>
            </w:r>
          </w:p>
        </w:tc>
      </w:tr>
      <w:tr w:rsidR="00B128E1" w:rsidRPr="00B128E1" w:rsidTr="007F349F">
        <w:tc>
          <w:tcPr>
            <w:tcW w:w="14459" w:type="dxa"/>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3.  Trainees in whom regular review by Expert Panel is no longer required.</w:t>
            </w:r>
          </w:p>
        </w:tc>
      </w:tr>
      <w:tr w:rsidR="00B128E1" w:rsidRPr="00B128E1" w:rsidTr="007F349F">
        <w:tc>
          <w:tcPr>
            <w:tcW w:w="14459" w:type="dxa"/>
            <w:shd w:val="clear" w:color="auto" w:fill="000000" w:themeFill="text1"/>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Automatic trigger to higher level</w:t>
            </w:r>
          </w:p>
        </w:tc>
      </w:tr>
      <w:tr w:rsidR="00B128E1" w:rsidRPr="00B128E1" w:rsidTr="007F349F">
        <w:tc>
          <w:tcPr>
            <w:tcW w:w="14459" w:type="dxa"/>
            <w:shd w:val="clear" w:color="auto" w:fill="A6A6A6" w:themeFill="background1" w:themeFillShade="A6"/>
          </w:tcPr>
          <w:p w:rsidR="00B128E1" w:rsidRPr="00B128E1" w:rsidRDefault="00B128E1" w:rsidP="00B128E1">
            <w:pPr>
              <w:rPr>
                <w:rFonts w:asciiTheme="minorHAnsi" w:hAnsiTheme="minorHAnsi"/>
                <w:sz w:val="24"/>
                <w:szCs w:val="24"/>
              </w:rPr>
            </w:pPr>
            <w:r w:rsidRPr="00B128E1">
              <w:rPr>
                <w:rFonts w:asciiTheme="minorHAnsi" w:hAnsiTheme="minorHAnsi"/>
                <w:sz w:val="24"/>
                <w:szCs w:val="24"/>
              </w:rPr>
              <w:t>Trigger referral code to PSU (usually high level of concern but not exclusively)</w:t>
            </w:r>
          </w:p>
        </w:tc>
      </w:tr>
    </w:tbl>
    <w:p w:rsidR="008B322F" w:rsidRPr="00051330" w:rsidRDefault="008B322F" w:rsidP="008B322F">
      <w:pPr>
        <w:autoSpaceDE w:val="0"/>
        <w:autoSpaceDN w:val="0"/>
        <w:adjustRightInd w:val="0"/>
        <w:rPr>
          <w:rFonts w:ascii="Calibri" w:hAnsi="Calibri" w:cs="Calibri"/>
          <w:color w:val="595959"/>
          <w:sz w:val="2"/>
          <w:szCs w:val="2"/>
        </w:rPr>
      </w:pPr>
    </w:p>
    <w:sectPr w:rsidR="008B322F" w:rsidRPr="00051330" w:rsidSect="00EE68C6">
      <w:headerReference w:type="default" r:id="rId9"/>
      <w:footerReference w:type="default" r:id="rId10"/>
      <w:pgSz w:w="16838" w:h="11906" w:orient="landscape"/>
      <w:pgMar w:top="1440" w:right="1152" w:bottom="994"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EF" w:rsidRDefault="007E62EF">
      <w:r>
        <w:separator/>
      </w:r>
    </w:p>
  </w:endnote>
  <w:endnote w:type="continuationSeparator" w:id="0">
    <w:p w:rsidR="007E62EF" w:rsidRDefault="007E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62680"/>
      <w:docPartObj>
        <w:docPartGallery w:val="Page Numbers (Bottom of Page)"/>
        <w:docPartUnique/>
      </w:docPartObj>
    </w:sdtPr>
    <w:sdtEndPr>
      <w:rPr>
        <w:noProof/>
      </w:rPr>
    </w:sdtEndPr>
    <w:sdtContent>
      <w:p w:rsidR="00B6759A" w:rsidRDefault="00B6759A">
        <w:pPr>
          <w:pStyle w:val="Footer"/>
          <w:jc w:val="right"/>
        </w:pPr>
        <w:r>
          <w:fldChar w:fldCharType="begin"/>
        </w:r>
        <w:r>
          <w:instrText xml:space="preserve"> PAGE   \* MERGEFORMAT </w:instrText>
        </w:r>
        <w:r>
          <w:fldChar w:fldCharType="separate"/>
        </w:r>
        <w:r w:rsidR="00373FE2">
          <w:rPr>
            <w:noProof/>
          </w:rPr>
          <w:t>2</w:t>
        </w:r>
        <w:r>
          <w:rPr>
            <w:noProof/>
          </w:rPr>
          <w:fldChar w:fldCharType="end"/>
        </w:r>
      </w:p>
    </w:sdtContent>
  </w:sdt>
  <w:p w:rsidR="00B6759A" w:rsidRDefault="00B6759A">
    <w:pPr>
      <w:pStyle w:val="Footer"/>
      <w:tabs>
        <w:tab w:val="clear" w:pos="4153"/>
        <w:tab w:val="clear" w:pos="8306"/>
        <w:tab w:val="right" w:pos="9450"/>
      </w:tabs>
    </w:pPr>
  </w:p>
  <w:p w:rsidR="00B6759A" w:rsidRDefault="00B6759A">
    <w:pPr>
      <w:pStyle w:val="Footer"/>
      <w:tabs>
        <w:tab w:val="clear" w:pos="4153"/>
        <w:tab w:val="clear" w:pos="8306"/>
        <w:tab w:val="right" w:pos="9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EF" w:rsidRDefault="007E62EF">
      <w:r>
        <w:separator/>
      </w:r>
    </w:p>
  </w:footnote>
  <w:footnote w:type="continuationSeparator" w:id="0">
    <w:p w:rsidR="007E62EF" w:rsidRDefault="007E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9A" w:rsidRPr="008F53E7" w:rsidRDefault="00B6759A" w:rsidP="008F5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2E5"/>
    <w:multiLevelType w:val="hybridMultilevel"/>
    <w:tmpl w:val="1C4ABF5C"/>
    <w:lvl w:ilvl="0" w:tplc="08090001">
      <w:start w:val="1"/>
      <w:numFmt w:val="bullet"/>
      <w:lvlText w:val=""/>
      <w:lvlJc w:val="left"/>
      <w:pPr>
        <w:tabs>
          <w:tab w:val="num" w:pos="720"/>
        </w:tabs>
        <w:ind w:left="720" w:hanging="360"/>
      </w:pPr>
      <w:rPr>
        <w:rFonts w:ascii="Symbol" w:hAnsi="Symbol" w:hint="default"/>
      </w:rPr>
    </w:lvl>
    <w:lvl w:ilvl="1" w:tplc="0BDAF4DC" w:tentative="1">
      <w:start w:val="1"/>
      <w:numFmt w:val="decimal"/>
      <w:lvlText w:val="%2."/>
      <w:lvlJc w:val="left"/>
      <w:pPr>
        <w:tabs>
          <w:tab w:val="num" w:pos="1440"/>
        </w:tabs>
        <w:ind w:left="1440" w:hanging="360"/>
      </w:pPr>
    </w:lvl>
    <w:lvl w:ilvl="2" w:tplc="21A4F6C8" w:tentative="1">
      <w:start w:val="1"/>
      <w:numFmt w:val="decimal"/>
      <w:lvlText w:val="%3."/>
      <w:lvlJc w:val="left"/>
      <w:pPr>
        <w:tabs>
          <w:tab w:val="num" w:pos="2160"/>
        </w:tabs>
        <w:ind w:left="2160" w:hanging="360"/>
      </w:pPr>
    </w:lvl>
    <w:lvl w:ilvl="3" w:tplc="0C50DEF6" w:tentative="1">
      <w:start w:val="1"/>
      <w:numFmt w:val="decimal"/>
      <w:lvlText w:val="%4."/>
      <w:lvlJc w:val="left"/>
      <w:pPr>
        <w:tabs>
          <w:tab w:val="num" w:pos="2880"/>
        </w:tabs>
        <w:ind w:left="2880" w:hanging="360"/>
      </w:pPr>
    </w:lvl>
    <w:lvl w:ilvl="4" w:tplc="225A54B2" w:tentative="1">
      <w:start w:val="1"/>
      <w:numFmt w:val="decimal"/>
      <w:lvlText w:val="%5."/>
      <w:lvlJc w:val="left"/>
      <w:pPr>
        <w:tabs>
          <w:tab w:val="num" w:pos="3600"/>
        </w:tabs>
        <w:ind w:left="3600" w:hanging="360"/>
      </w:pPr>
    </w:lvl>
    <w:lvl w:ilvl="5" w:tplc="BDC0E3D8" w:tentative="1">
      <w:start w:val="1"/>
      <w:numFmt w:val="decimal"/>
      <w:lvlText w:val="%6."/>
      <w:lvlJc w:val="left"/>
      <w:pPr>
        <w:tabs>
          <w:tab w:val="num" w:pos="4320"/>
        </w:tabs>
        <w:ind w:left="4320" w:hanging="360"/>
      </w:pPr>
    </w:lvl>
    <w:lvl w:ilvl="6" w:tplc="5F1A0102" w:tentative="1">
      <w:start w:val="1"/>
      <w:numFmt w:val="decimal"/>
      <w:lvlText w:val="%7."/>
      <w:lvlJc w:val="left"/>
      <w:pPr>
        <w:tabs>
          <w:tab w:val="num" w:pos="5040"/>
        </w:tabs>
        <w:ind w:left="5040" w:hanging="360"/>
      </w:pPr>
    </w:lvl>
    <w:lvl w:ilvl="7" w:tplc="27400E62" w:tentative="1">
      <w:start w:val="1"/>
      <w:numFmt w:val="decimal"/>
      <w:lvlText w:val="%8."/>
      <w:lvlJc w:val="left"/>
      <w:pPr>
        <w:tabs>
          <w:tab w:val="num" w:pos="5760"/>
        </w:tabs>
        <w:ind w:left="5760" w:hanging="360"/>
      </w:pPr>
    </w:lvl>
    <w:lvl w:ilvl="8" w:tplc="30DE302E" w:tentative="1">
      <w:start w:val="1"/>
      <w:numFmt w:val="decimal"/>
      <w:lvlText w:val="%9."/>
      <w:lvlJc w:val="left"/>
      <w:pPr>
        <w:tabs>
          <w:tab w:val="num" w:pos="6480"/>
        </w:tabs>
        <w:ind w:left="6480" w:hanging="360"/>
      </w:pPr>
    </w:lvl>
  </w:abstractNum>
  <w:abstractNum w:abstractNumId="1">
    <w:nsid w:val="019274FF"/>
    <w:multiLevelType w:val="hybridMultilevel"/>
    <w:tmpl w:val="39AC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A3942"/>
    <w:multiLevelType w:val="multilevel"/>
    <w:tmpl w:val="7A8A7AA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DAE0BF8"/>
    <w:multiLevelType w:val="hybridMultilevel"/>
    <w:tmpl w:val="C9D0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532B3"/>
    <w:multiLevelType w:val="hybridMultilevel"/>
    <w:tmpl w:val="8138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15893"/>
    <w:multiLevelType w:val="hybridMultilevel"/>
    <w:tmpl w:val="8A92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65A90"/>
    <w:multiLevelType w:val="multilevel"/>
    <w:tmpl w:val="DF64A85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84B6F5E"/>
    <w:multiLevelType w:val="hybridMultilevel"/>
    <w:tmpl w:val="4DA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E70F8"/>
    <w:multiLevelType w:val="multilevel"/>
    <w:tmpl w:val="2A2EA7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3405504"/>
    <w:multiLevelType w:val="hybridMultilevel"/>
    <w:tmpl w:val="D0363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04708"/>
    <w:multiLevelType w:val="multilevel"/>
    <w:tmpl w:val="4B72DD0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84143D9"/>
    <w:multiLevelType w:val="hybridMultilevel"/>
    <w:tmpl w:val="2690C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99C4966"/>
    <w:multiLevelType w:val="multilevel"/>
    <w:tmpl w:val="B47C6D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B445F47"/>
    <w:multiLevelType w:val="hybridMultilevel"/>
    <w:tmpl w:val="45BA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46A8D"/>
    <w:multiLevelType w:val="hybridMultilevel"/>
    <w:tmpl w:val="F7BA2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402311D"/>
    <w:multiLevelType w:val="hybridMultilevel"/>
    <w:tmpl w:val="CE3EAE66"/>
    <w:lvl w:ilvl="0" w:tplc="08090003">
      <w:start w:val="1"/>
      <w:numFmt w:val="bullet"/>
      <w:lvlText w:val="o"/>
      <w:lvlJc w:val="left"/>
      <w:pPr>
        <w:tabs>
          <w:tab w:val="num" w:pos="720"/>
        </w:tabs>
        <w:ind w:left="720" w:hanging="360"/>
      </w:pPr>
      <w:rPr>
        <w:rFonts w:ascii="Courier New" w:hAnsi="Courier New" w:cs="Courier New" w:hint="default"/>
      </w:rPr>
    </w:lvl>
    <w:lvl w:ilvl="1" w:tplc="4498D770" w:tentative="1">
      <w:start w:val="1"/>
      <w:numFmt w:val="decimal"/>
      <w:lvlText w:val="%2."/>
      <w:lvlJc w:val="left"/>
      <w:pPr>
        <w:tabs>
          <w:tab w:val="num" w:pos="1440"/>
        </w:tabs>
        <w:ind w:left="1440" w:hanging="360"/>
      </w:pPr>
    </w:lvl>
    <w:lvl w:ilvl="2" w:tplc="810E5520" w:tentative="1">
      <w:start w:val="1"/>
      <w:numFmt w:val="decimal"/>
      <w:lvlText w:val="%3."/>
      <w:lvlJc w:val="left"/>
      <w:pPr>
        <w:tabs>
          <w:tab w:val="num" w:pos="2160"/>
        </w:tabs>
        <w:ind w:left="2160" w:hanging="360"/>
      </w:pPr>
    </w:lvl>
    <w:lvl w:ilvl="3" w:tplc="2E608456" w:tentative="1">
      <w:start w:val="1"/>
      <w:numFmt w:val="decimal"/>
      <w:lvlText w:val="%4."/>
      <w:lvlJc w:val="left"/>
      <w:pPr>
        <w:tabs>
          <w:tab w:val="num" w:pos="2880"/>
        </w:tabs>
        <w:ind w:left="2880" w:hanging="360"/>
      </w:pPr>
    </w:lvl>
    <w:lvl w:ilvl="4" w:tplc="6B4EFB38" w:tentative="1">
      <w:start w:val="1"/>
      <w:numFmt w:val="decimal"/>
      <w:lvlText w:val="%5."/>
      <w:lvlJc w:val="left"/>
      <w:pPr>
        <w:tabs>
          <w:tab w:val="num" w:pos="3600"/>
        </w:tabs>
        <w:ind w:left="3600" w:hanging="360"/>
      </w:pPr>
    </w:lvl>
    <w:lvl w:ilvl="5" w:tplc="27FC36A0" w:tentative="1">
      <w:start w:val="1"/>
      <w:numFmt w:val="decimal"/>
      <w:lvlText w:val="%6."/>
      <w:lvlJc w:val="left"/>
      <w:pPr>
        <w:tabs>
          <w:tab w:val="num" w:pos="4320"/>
        </w:tabs>
        <w:ind w:left="4320" w:hanging="360"/>
      </w:pPr>
    </w:lvl>
    <w:lvl w:ilvl="6" w:tplc="1FE85158" w:tentative="1">
      <w:start w:val="1"/>
      <w:numFmt w:val="decimal"/>
      <w:lvlText w:val="%7."/>
      <w:lvlJc w:val="left"/>
      <w:pPr>
        <w:tabs>
          <w:tab w:val="num" w:pos="5040"/>
        </w:tabs>
        <w:ind w:left="5040" w:hanging="360"/>
      </w:pPr>
    </w:lvl>
    <w:lvl w:ilvl="7" w:tplc="FA0419E6" w:tentative="1">
      <w:start w:val="1"/>
      <w:numFmt w:val="decimal"/>
      <w:lvlText w:val="%8."/>
      <w:lvlJc w:val="left"/>
      <w:pPr>
        <w:tabs>
          <w:tab w:val="num" w:pos="5760"/>
        </w:tabs>
        <w:ind w:left="5760" w:hanging="360"/>
      </w:pPr>
    </w:lvl>
    <w:lvl w:ilvl="8" w:tplc="D188FB26" w:tentative="1">
      <w:start w:val="1"/>
      <w:numFmt w:val="decimal"/>
      <w:lvlText w:val="%9."/>
      <w:lvlJc w:val="left"/>
      <w:pPr>
        <w:tabs>
          <w:tab w:val="num" w:pos="6480"/>
        </w:tabs>
        <w:ind w:left="6480" w:hanging="360"/>
      </w:pPr>
    </w:lvl>
  </w:abstractNum>
  <w:abstractNum w:abstractNumId="23">
    <w:nsid w:val="4CB46993"/>
    <w:multiLevelType w:val="hybridMultilevel"/>
    <w:tmpl w:val="F42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F43F0"/>
    <w:multiLevelType w:val="hybridMultilevel"/>
    <w:tmpl w:val="51405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AF0AE9"/>
    <w:multiLevelType w:val="multilevel"/>
    <w:tmpl w:val="919A3ED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014448A"/>
    <w:multiLevelType w:val="hybridMultilevel"/>
    <w:tmpl w:val="371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BF2D0B"/>
    <w:multiLevelType w:val="singleLevel"/>
    <w:tmpl w:val="8AD20BE4"/>
    <w:lvl w:ilvl="0">
      <w:start w:val="1"/>
      <w:numFmt w:val="bullet"/>
      <w:pStyle w:val="Bullet2"/>
      <w:lvlText w:val=""/>
      <w:lvlJc w:val="left"/>
      <w:pPr>
        <w:tabs>
          <w:tab w:val="num" w:pos="1440"/>
        </w:tabs>
        <w:ind w:left="1440" w:hanging="720"/>
      </w:pPr>
      <w:rPr>
        <w:rFonts w:ascii="Symbol" w:hAnsi="Symbol" w:hint="default"/>
        <w:color w:val="auto"/>
      </w:rPr>
    </w:lvl>
  </w:abstractNum>
  <w:abstractNum w:abstractNumId="29">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30">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3412CF"/>
    <w:multiLevelType w:val="hybridMultilevel"/>
    <w:tmpl w:val="9EB89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BA87B0D"/>
    <w:multiLevelType w:val="hybridMultilevel"/>
    <w:tmpl w:val="E1368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AF9189D"/>
    <w:multiLevelType w:val="hybridMultilevel"/>
    <w:tmpl w:val="C3D0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B64E0"/>
    <w:multiLevelType w:val="hybridMultilevel"/>
    <w:tmpl w:val="5A4E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3F41FE9"/>
    <w:multiLevelType w:val="hybridMultilevel"/>
    <w:tmpl w:val="BCCA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855815"/>
    <w:multiLevelType w:val="hybridMultilevel"/>
    <w:tmpl w:val="B7E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2E2673"/>
    <w:multiLevelType w:val="multilevel"/>
    <w:tmpl w:val="A570646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782861DB"/>
    <w:multiLevelType w:val="singleLevel"/>
    <w:tmpl w:val="457C24CE"/>
    <w:lvl w:ilvl="0">
      <w:start w:val="1"/>
      <w:numFmt w:val="bullet"/>
      <w:pStyle w:val="Bullet3"/>
      <w:lvlText w:val=""/>
      <w:lvlJc w:val="left"/>
      <w:pPr>
        <w:tabs>
          <w:tab w:val="num" w:pos="2160"/>
        </w:tabs>
        <w:ind w:left="2160" w:hanging="720"/>
      </w:pPr>
      <w:rPr>
        <w:rFonts w:ascii="Symbol" w:hAnsi="Symbol" w:hint="default"/>
        <w:color w:val="auto"/>
      </w:rPr>
    </w:lvl>
  </w:abstractNum>
  <w:abstractNum w:abstractNumId="41">
    <w:nsid w:val="7A4E5643"/>
    <w:multiLevelType w:val="multilevel"/>
    <w:tmpl w:val="8CE0F68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A584C01"/>
    <w:multiLevelType w:val="singleLevel"/>
    <w:tmpl w:val="BE28A002"/>
    <w:lvl w:ilvl="0">
      <w:start w:val="1"/>
      <w:numFmt w:val="bullet"/>
      <w:pStyle w:val="Bullet1"/>
      <w:lvlText w:val=""/>
      <w:lvlJc w:val="left"/>
      <w:pPr>
        <w:tabs>
          <w:tab w:val="num" w:pos="720"/>
        </w:tabs>
        <w:ind w:left="720" w:hanging="720"/>
      </w:pPr>
      <w:rPr>
        <w:rFonts w:ascii="Symbol" w:hAnsi="Symbol" w:hint="default"/>
        <w:color w:val="auto"/>
      </w:rPr>
    </w:lvl>
  </w:abstractNum>
  <w:num w:numId="1">
    <w:abstractNumId w:val="8"/>
  </w:num>
  <w:num w:numId="2">
    <w:abstractNumId w:val="8"/>
  </w:num>
  <w:num w:numId="3">
    <w:abstractNumId w:val="8"/>
  </w:num>
  <w:num w:numId="4">
    <w:abstractNumId w:val="8"/>
  </w:num>
  <w:num w:numId="5">
    <w:abstractNumId w:val="2"/>
  </w:num>
  <w:num w:numId="6">
    <w:abstractNumId w:val="11"/>
  </w:num>
  <w:num w:numId="7">
    <w:abstractNumId w:val="41"/>
  </w:num>
  <w:num w:numId="8">
    <w:abstractNumId w:val="14"/>
  </w:num>
  <w:num w:numId="9">
    <w:abstractNumId w:val="42"/>
  </w:num>
  <w:num w:numId="10">
    <w:abstractNumId w:val="28"/>
  </w:num>
  <w:num w:numId="11">
    <w:abstractNumId w:val="40"/>
  </w:num>
  <w:num w:numId="12">
    <w:abstractNumId w:val="29"/>
  </w:num>
  <w:num w:numId="13">
    <w:abstractNumId w:val="9"/>
  </w:num>
  <w:num w:numId="14">
    <w:abstractNumId w:val="39"/>
  </w:num>
  <w:num w:numId="15">
    <w:abstractNumId w:val="16"/>
  </w:num>
  <w:num w:numId="16">
    <w:abstractNumId w:val="14"/>
  </w:num>
  <w:num w:numId="17">
    <w:abstractNumId w:val="18"/>
  </w:num>
  <w:num w:numId="18">
    <w:abstractNumId w:val="25"/>
  </w:num>
  <w:num w:numId="19">
    <w:abstractNumId w:val="19"/>
  </w:num>
  <w:num w:numId="20">
    <w:abstractNumId w:val="24"/>
  </w:num>
  <w:num w:numId="21">
    <w:abstractNumId w:val="22"/>
  </w:num>
  <w:num w:numId="22">
    <w:abstractNumId w:val="0"/>
  </w:num>
  <w:num w:numId="23">
    <w:abstractNumId w:val="35"/>
  </w:num>
  <w:num w:numId="24">
    <w:abstractNumId w:val="1"/>
  </w:num>
  <w:num w:numId="25">
    <w:abstractNumId w:val="26"/>
  </w:num>
  <w:num w:numId="26">
    <w:abstractNumId w:val="37"/>
  </w:num>
  <w:num w:numId="27">
    <w:abstractNumId w:val="38"/>
  </w:num>
  <w:num w:numId="28">
    <w:abstractNumId w:val="32"/>
  </w:num>
  <w:num w:numId="29">
    <w:abstractNumId w:val="34"/>
  </w:num>
  <w:num w:numId="30">
    <w:abstractNumId w:val="5"/>
  </w:num>
  <w:num w:numId="31">
    <w:abstractNumId w:val="10"/>
  </w:num>
  <w:num w:numId="32">
    <w:abstractNumId w:val="20"/>
  </w:num>
  <w:num w:numId="33">
    <w:abstractNumId w:val="13"/>
  </w:num>
  <w:num w:numId="34">
    <w:abstractNumId w:val="27"/>
  </w:num>
  <w:num w:numId="35">
    <w:abstractNumId w:val="6"/>
  </w:num>
  <w:num w:numId="36">
    <w:abstractNumId w:val="12"/>
  </w:num>
  <w:num w:numId="37">
    <w:abstractNumId w:val="7"/>
  </w:num>
  <w:num w:numId="38">
    <w:abstractNumId w:val="30"/>
  </w:num>
  <w:num w:numId="39">
    <w:abstractNumId w:val="33"/>
  </w:num>
  <w:num w:numId="40">
    <w:abstractNumId w:val="36"/>
  </w:num>
  <w:num w:numId="41">
    <w:abstractNumId w:val="21"/>
  </w:num>
  <w:num w:numId="42">
    <w:abstractNumId w:val="23"/>
  </w:num>
  <w:num w:numId="43">
    <w:abstractNumId w:val="4"/>
  </w:num>
  <w:num w:numId="44">
    <w:abstractNumId w:val="3"/>
  </w:num>
  <w:num w:numId="45">
    <w:abstractNumId w:val="17"/>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CD"/>
    <w:rsid w:val="0000479C"/>
    <w:rsid w:val="00004DAC"/>
    <w:rsid w:val="000102A6"/>
    <w:rsid w:val="00011161"/>
    <w:rsid w:val="00030DA2"/>
    <w:rsid w:val="00051330"/>
    <w:rsid w:val="00080EBA"/>
    <w:rsid w:val="00085D7C"/>
    <w:rsid w:val="0009620E"/>
    <w:rsid w:val="000B09CC"/>
    <w:rsid w:val="000E3806"/>
    <w:rsid w:val="000E39E6"/>
    <w:rsid w:val="000F149F"/>
    <w:rsid w:val="000F5399"/>
    <w:rsid w:val="000F633D"/>
    <w:rsid w:val="0010259A"/>
    <w:rsid w:val="00106B40"/>
    <w:rsid w:val="00110954"/>
    <w:rsid w:val="00112678"/>
    <w:rsid w:val="00114454"/>
    <w:rsid w:val="00126C5D"/>
    <w:rsid w:val="00131A71"/>
    <w:rsid w:val="001356D1"/>
    <w:rsid w:val="00144726"/>
    <w:rsid w:val="00153C63"/>
    <w:rsid w:val="001869C5"/>
    <w:rsid w:val="00193B42"/>
    <w:rsid w:val="001A0516"/>
    <w:rsid w:val="001A74B2"/>
    <w:rsid w:val="001A7D73"/>
    <w:rsid w:val="001C3BE4"/>
    <w:rsid w:val="001E0268"/>
    <w:rsid w:val="002040E7"/>
    <w:rsid w:val="00220F13"/>
    <w:rsid w:val="00223915"/>
    <w:rsid w:val="00231D44"/>
    <w:rsid w:val="00243785"/>
    <w:rsid w:val="002453D9"/>
    <w:rsid w:val="00255B9C"/>
    <w:rsid w:val="00261189"/>
    <w:rsid w:val="002673D4"/>
    <w:rsid w:val="00270E41"/>
    <w:rsid w:val="00276FCA"/>
    <w:rsid w:val="00286907"/>
    <w:rsid w:val="002B61FC"/>
    <w:rsid w:val="002C2146"/>
    <w:rsid w:val="002C67E7"/>
    <w:rsid w:val="002D0466"/>
    <w:rsid w:val="002D3B41"/>
    <w:rsid w:val="002D5EEB"/>
    <w:rsid w:val="002E26FE"/>
    <w:rsid w:val="00301735"/>
    <w:rsid w:val="0032788D"/>
    <w:rsid w:val="003345BC"/>
    <w:rsid w:val="00340B5A"/>
    <w:rsid w:val="00353273"/>
    <w:rsid w:val="00366B17"/>
    <w:rsid w:val="00372D3E"/>
    <w:rsid w:val="00373FE2"/>
    <w:rsid w:val="00374F9C"/>
    <w:rsid w:val="00375B37"/>
    <w:rsid w:val="00385707"/>
    <w:rsid w:val="00390C81"/>
    <w:rsid w:val="003A5253"/>
    <w:rsid w:val="003B4B1F"/>
    <w:rsid w:val="003C131A"/>
    <w:rsid w:val="003D0CD5"/>
    <w:rsid w:val="003D74C3"/>
    <w:rsid w:val="003D7B06"/>
    <w:rsid w:val="003E4060"/>
    <w:rsid w:val="003E770F"/>
    <w:rsid w:val="0040027F"/>
    <w:rsid w:val="00426BAF"/>
    <w:rsid w:val="00430E2F"/>
    <w:rsid w:val="0043259D"/>
    <w:rsid w:val="00456ACB"/>
    <w:rsid w:val="0046268A"/>
    <w:rsid w:val="00463B81"/>
    <w:rsid w:val="00477575"/>
    <w:rsid w:val="004C19D7"/>
    <w:rsid w:val="004C7140"/>
    <w:rsid w:val="004D1329"/>
    <w:rsid w:val="005047F7"/>
    <w:rsid w:val="00513BB9"/>
    <w:rsid w:val="00517AC0"/>
    <w:rsid w:val="005212DC"/>
    <w:rsid w:val="00525708"/>
    <w:rsid w:val="00532D12"/>
    <w:rsid w:val="005341CB"/>
    <w:rsid w:val="00560FD2"/>
    <w:rsid w:val="00567811"/>
    <w:rsid w:val="005819BF"/>
    <w:rsid w:val="005830DE"/>
    <w:rsid w:val="005837AD"/>
    <w:rsid w:val="00584EF2"/>
    <w:rsid w:val="005A1388"/>
    <w:rsid w:val="005A5FE1"/>
    <w:rsid w:val="005B60E4"/>
    <w:rsid w:val="005F4B2D"/>
    <w:rsid w:val="006078D1"/>
    <w:rsid w:val="00616510"/>
    <w:rsid w:val="0062379A"/>
    <w:rsid w:val="00632EF3"/>
    <w:rsid w:val="0064442A"/>
    <w:rsid w:val="00646724"/>
    <w:rsid w:val="00647EE9"/>
    <w:rsid w:val="00677F5A"/>
    <w:rsid w:val="00681031"/>
    <w:rsid w:val="00686CDA"/>
    <w:rsid w:val="00687DD8"/>
    <w:rsid w:val="006950A2"/>
    <w:rsid w:val="006953BF"/>
    <w:rsid w:val="006A5EEE"/>
    <w:rsid w:val="006C3E8B"/>
    <w:rsid w:val="006E6C96"/>
    <w:rsid w:val="006F25C1"/>
    <w:rsid w:val="00701E07"/>
    <w:rsid w:val="007022AB"/>
    <w:rsid w:val="00706D34"/>
    <w:rsid w:val="00713E4D"/>
    <w:rsid w:val="007200D8"/>
    <w:rsid w:val="00725D75"/>
    <w:rsid w:val="00734602"/>
    <w:rsid w:val="007419A2"/>
    <w:rsid w:val="0076037A"/>
    <w:rsid w:val="007607A6"/>
    <w:rsid w:val="007710BA"/>
    <w:rsid w:val="0077567C"/>
    <w:rsid w:val="00795324"/>
    <w:rsid w:val="007C01D1"/>
    <w:rsid w:val="007D3999"/>
    <w:rsid w:val="007E286A"/>
    <w:rsid w:val="007E62EF"/>
    <w:rsid w:val="007E7915"/>
    <w:rsid w:val="007F349F"/>
    <w:rsid w:val="00805FFF"/>
    <w:rsid w:val="008302EE"/>
    <w:rsid w:val="00831FD5"/>
    <w:rsid w:val="00833BC6"/>
    <w:rsid w:val="00840089"/>
    <w:rsid w:val="00871E7C"/>
    <w:rsid w:val="0089752F"/>
    <w:rsid w:val="008A2307"/>
    <w:rsid w:val="008B322F"/>
    <w:rsid w:val="008C5CA6"/>
    <w:rsid w:val="008D6396"/>
    <w:rsid w:val="008F0DF0"/>
    <w:rsid w:val="008F53E7"/>
    <w:rsid w:val="009009E0"/>
    <w:rsid w:val="0091730E"/>
    <w:rsid w:val="00925AAE"/>
    <w:rsid w:val="009339AF"/>
    <w:rsid w:val="00934E48"/>
    <w:rsid w:val="0093714F"/>
    <w:rsid w:val="00952F72"/>
    <w:rsid w:val="00986016"/>
    <w:rsid w:val="00995B0E"/>
    <w:rsid w:val="009A5C3F"/>
    <w:rsid w:val="009B74DE"/>
    <w:rsid w:val="009C32B4"/>
    <w:rsid w:val="009C64CC"/>
    <w:rsid w:val="009F42AA"/>
    <w:rsid w:val="00A02247"/>
    <w:rsid w:val="00A12296"/>
    <w:rsid w:val="00A23AAA"/>
    <w:rsid w:val="00A277B4"/>
    <w:rsid w:val="00A305FB"/>
    <w:rsid w:val="00A754D3"/>
    <w:rsid w:val="00A77BB8"/>
    <w:rsid w:val="00A87D4A"/>
    <w:rsid w:val="00AA1948"/>
    <w:rsid w:val="00AC0232"/>
    <w:rsid w:val="00AC1A93"/>
    <w:rsid w:val="00AD2D6A"/>
    <w:rsid w:val="00AE3E60"/>
    <w:rsid w:val="00AF1FFE"/>
    <w:rsid w:val="00AF29C4"/>
    <w:rsid w:val="00AF2F8D"/>
    <w:rsid w:val="00B02142"/>
    <w:rsid w:val="00B073EA"/>
    <w:rsid w:val="00B128E1"/>
    <w:rsid w:val="00B45783"/>
    <w:rsid w:val="00B6759A"/>
    <w:rsid w:val="00B73544"/>
    <w:rsid w:val="00B744B1"/>
    <w:rsid w:val="00B818D6"/>
    <w:rsid w:val="00B92AB1"/>
    <w:rsid w:val="00BA4D19"/>
    <w:rsid w:val="00BC4391"/>
    <w:rsid w:val="00BC596B"/>
    <w:rsid w:val="00BD7DE3"/>
    <w:rsid w:val="00BE0260"/>
    <w:rsid w:val="00BE782C"/>
    <w:rsid w:val="00BF7AC0"/>
    <w:rsid w:val="00C06608"/>
    <w:rsid w:val="00C14996"/>
    <w:rsid w:val="00C30DAB"/>
    <w:rsid w:val="00C327F8"/>
    <w:rsid w:val="00C533B1"/>
    <w:rsid w:val="00C5405D"/>
    <w:rsid w:val="00C73765"/>
    <w:rsid w:val="00C80265"/>
    <w:rsid w:val="00CA213E"/>
    <w:rsid w:val="00CC5D3D"/>
    <w:rsid w:val="00CD0C15"/>
    <w:rsid w:val="00CD62E9"/>
    <w:rsid w:val="00CD7158"/>
    <w:rsid w:val="00CE4FCD"/>
    <w:rsid w:val="00CF0E7C"/>
    <w:rsid w:val="00CF159C"/>
    <w:rsid w:val="00CF356F"/>
    <w:rsid w:val="00D02091"/>
    <w:rsid w:val="00D06EFB"/>
    <w:rsid w:val="00D100A6"/>
    <w:rsid w:val="00D163FF"/>
    <w:rsid w:val="00D217E1"/>
    <w:rsid w:val="00D24B23"/>
    <w:rsid w:val="00D26FD4"/>
    <w:rsid w:val="00D30C16"/>
    <w:rsid w:val="00D32DFA"/>
    <w:rsid w:val="00D67F66"/>
    <w:rsid w:val="00D74FF5"/>
    <w:rsid w:val="00D854B6"/>
    <w:rsid w:val="00D870B4"/>
    <w:rsid w:val="00DA2644"/>
    <w:rsid w:val="00DA42F2"/>
    <w:rsid w:val="00DB52A0"/>
    <w:rsid w:val="00DD6493"/>
    <w:rsid w:val="00DE53DA"/>
    <w:rsid w:val="00DF114D"/>
    <w:rsid w:val="00E00B32"/>
    <w:rsid w:val="00E26E51"/>
    <w:rsid w:val="00E401B4"/>
    <w:rsid w:val="00E535CF"/>
    <w:rsid w:val="00E5703E"/>
    <w:rsid w:val="00E90854"/>
    <w:rsid w:val="00E93398"/>
    <w:rsid w:val="00EA33EB"/>
    <w:rsid w:val="00EB14A9"/>
    <w:rsid w:val="00EC699B"/>
    <w:rsid w:val="00EE68C6"/>
    <w:rsid w:val="00F02F84"/>
    <w:rsid w:val="00F21105"/>
    <w:rsid w:val="00F26104"/>
    <w:rsid w:val="00F26F5D"/>
    <w:rsid w:val="00F46119"/>
    <w:rsid w:val="00F47759"/>
    <w:rsid w:val="00F51E63"/>
    <w:rsid w:val="00F76E1E"/>
    <w:rsid w:val="00FA5811"/>
    <w:rsid w:val="00FF4F97"/>
    <w:rsid w:val="00FF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AF1FFE"/>
    <w:rPr>
      <w:sz w:val="16"/>
      <w:szCs w:val="16"/>
    </w:rPr>
  </w:style>
  <w:style w:type="paragraph" w:styleId="CommentText">
    <w:name w:val="annotation text"/>
    <w:basedOn w:val="Normal"/>
    <w:link w:val="CommentTextChar"/>
    <w:rsid w:val="00AF1FFE"/>
    <w:rPr>
      <w:sz w:val="20"/>
      <w:szCs w:val="20"/>
    </w:rPr>
  </w:style>
  <w:style w:type="character" w:customStyle="1" w:styleId="CommentTextChar">
    <w:name w:val="Comment Text Char"/>
    <w:basedOn w:val="DefaultParagraphFont"/>
    <w:link w:val="CommentText"/>
    <w:rsid w:val="00AF1FFE"/>
    <w:rPr>
      <w:rFonts w:ascii="Arial" w:hAnsi="Arial"/>
      <w:lang w:eastAsia="en-US"/>
    </w:rPr>
  </w:style>
  <w:style w:type="paragraph" w:styleId="CommentSubject">
    <w:name w:val="annotation subject"/>
    <w:basedOn w:val="CommentText"/>
    <w:next w:val="CommentText"/>
    <w:link w:val="CommentSubjectChar"/>
    <w:rsid w:val="00AF1FFE"/>
    <w:rPr>
      <w:b/>
      <w:bCs/>
    </w:rPr>
  </w:style>
  <w:style w:type="character" w:customStyle="1" w:styleId="CommentSubjectChar">
    <w:name w:val="Comment Subject Char"/>
    <w:basedOn w:val="CommentTextChar"/>
    <w:link w:val="CommentSubject"/>
    <w:rsid w:val="00AF1FFE"/>
    <w:rPr>
      <w:rFonts w:ascii="Arial" w:hAnsi="Arial"/>
      <w:b/>
      <w:bCs/>
      <w:lang w:eastAsia="en-US"/>
    </w:rPr>
  </w:style>
  <w:style w:type="table" w:customStyle="1" w:styleId="TableGrid1">
    <w:name w:val="Table Grid1"/>
    <w:basedOn w:val="TableNormal"/>
    <w:next w:val="TableGrid"/>
    <w:uiPriority w:val="59"/>
    <w:rsid w:val="005A5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28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2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AF1FFE"/>
    <w:rPr>
      <w:sz w:val="16"/>
      <w:szCs w:val="16"/>
    </w:rPr>
  </w:style>
  <w:style w:type="paragraph" w:styleId="CommentText">
    <w:name w:val="annotation text"/>
    <w:basedOn w:val="Normal"/>
    <w:link w:val="CommentTextChar"/>
    <w:rsid w:val="00AF1FFE"/>
    <w:rPr>
      <w:sz w:val="20"/>
      <w:szCs w:val="20"/>
    </w:rPr>
  </w:style>
  <w:style w:type="character" w:customStyle="1" w:styleId="CommentTextChar">
    <w:name w:val="Comment Text Char"/>
    <w:basedOn w:val="DefaultParagraphFont"/>
    <w:link w:val="CommentText"/>
    <w:rsid w:val="00AF1FFE"/>
    <w:rPr>
      <w:rFonts w:ascii="Arial" w:hAnsi="Arial"/>
      <w:lang w:eastAsia="en-US"/>
    </w:rPr>
  </w:style>
  <w:style w:type="paragraph" w:styleId="CommentSubject">
    <w:name w:val="annotation subject"/>
    <w:basedOn w:val="CommentText"/>
    <w:next w:val="CommentText"/>
    <w:link w:val="CommentSubjectChar"/>
    <w:rsid w:val="00AF1FFE"/>
    <w:rPr>
      <w:b/>
      <w:bCs/>
    </w:rPr>
  </w:style>
  <w:style w:type="character" w:customStyle="1" w:styleId="CommentSubjectChar">
    <w:name w:val="Comment Subject Char"/>
    <w:basedOn w:val="CommentTextChar"/>
    <w:link w:val="CommentSubject"/>
    <w:rsid w:val="00AF1FFE"/>
    <w:rPr>
      <w:rFonts w:ascii="Arial" w:hAnsi="Arial"/>
      <w:b/>
      <w:bCs/>
      <w:lang w:eastAsia="en-US"/>
    </w:rPr>
  </w:style>
  <w:style w:type="table" w:customStyle="1" w:styleId="TableGrid1">
    <w:name w:val="Table Grid1"/>
    <w:basedOn w:val="TableNormal"/>
    <w:next w:val="TableGrid"/>
    <w:uiPriority w:val="59"/>
    <w:rsid w:val="005A5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28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2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1D45-684B-490C-BFBD-7C978C22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3778</CharactersWithSpaces>
  <SharedDoc>false</SharedDoc>
  <HLinks>
    <vt:vector size="24" baseType="variant">
      <vt:variant>
        <vt:i4>1114163</vt:i4>
      </vt:variant>
      <vt:variant>
        <vt:i4>20</vt:i4>
      </vt:variant>
      <vt:variant>
        <vt:i4>0</vt:i4>
      </vt:variant>
      <vt:variant>
        <vt:i4>5</vt:i4>
      </vt:variant>
      <vt:variant>
        <vt:lpwstr/>
      </vt:variant>
      <vt:variant>
        <vt:lpwstr>_Toc143432241</vt:lpwstr>
      </vt:variant>
      <vt:variant>
        <vt:i4>1114163</vt:i4>
      </vt:variant>
      <vt:variant>
        <vt:i4>14</vt:i4>
      </vt:variant>
      <vt:variant>
        <vt:i4>0</vt:i4>
      </vt:variant>
      <vt:variant>
        <vt:i4>5</vt:i4>
      </vt:variant>
      <vt:variant>
        <vt:lpwstr/>
      </vt:variant>
      <vt:variant>
        <vt:lpwstr>_Toc143432240</vt:lpwstr>
      </vt:variant>
      <vt:variant>
        <vt:i4>1441843</vt:i4>
      </vt:variant>
      <vt:variant>
        <vt:i4>8</vt:i4>
      </vt:variant>
      <vt:variant>
        <vt:i4>0</vt:i4>
      </vt:variant>
      <vt:variant>
        <vt:i4>5</vt:i4>
      </vt:variant>
      <vt:variant>
        <vt:lpwstr/>
      </vt:variant>
      <vt:variant>
        <vt:lpwstr>_Toc143432239</vt:lpwstr>
      </vt:variant>
      <vt:variant>
        <vt:i4>1441843</vt:i4>
      </vt:variant>
      <vt:variant>
        <vt:i4>2</vt:i4>
      </vt:variant>
      <vt:variant>
        <vt:i4>0</vt:i4>
      </vt:variant>
      <vt:variant>
        <vt:i4>5</vt:i4>
      </vt:variant>
      <vt:variant>
        <vt:lpwstr/>
      </vt:variant>
      <vt:variant>
        <vt:lpwstr>_Toc143432238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Breffni Tailte (NHS South West)</dc:creator>
  <cp:lastModifiedBy>Dee Holley (Health Education South West)</cp:lastModifiedBy>
  <cp:revision>4</cp:revision>
  <cp:lastPrinted>2015-04-07T14:08:00Z</cp:lastPrinted>
  <dcterms:created xsi:type="dcterms:W3CDTF">2015-06-22T09:12:00Z</dcterms:created>
  <dcterms:modified xsi:type="dcterms:W3CDTF">2015-06-22T09:34:00Z</dcterms:modified>
</cp:coreProperties>
</file>